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27253" w:rsidP="001103D7">
            <w:pPr>
              <w:spacing w:after="0" w:line="240" w:lineRule="auto"/>
              <w:rPr>
                <w:b/>
              </w:rPr>
            </w:pPr>
            <w:r>
              <w:rPr>
                <w:b/>
              </w:rPr>
              <w:t>West Lynn</w:t>
            </w:r>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AD59DD">
            <w:pPr>
              <w:spacing w:after="0" w:line="240" w:lineRule="auto"/>
              <w:rPr>
                <w:b/>
              </w:rPr>
            </w:pPr>
            <w:r>
              <w:rPr>
                <w:b/>
              </w:rPr>
              <w:t>Midday Supervisory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512ED" w:rsidP="00C512ED">
            <w:pPr>
              <w:spacing w:after="0" w:line="240" w:lineRule="auto"/>
              <w:rPr>
                <w:b/>
              </w:rPr>
            </w:pPr>
            <w:r>
              <w:rPr>
                <w:rFonts w:asciiTheme="minorHAnsi" w:hAnsiTheme="minorHAnsi" w:cs="Arial"/>
                <w:b/>
              </w:rPr>
              <w:t>Scale A, Point 1</w:t>
            </w:r>
            <w:r w:rsidR="003C0CB4" w:rsidRPr="00BC336A">
              <w:rPr>
                <w:rFonts w:asciiTheme="minorHAnsi" w:hAnsiTheme="minorHAnsi" w:cs="Arial"/>
                <w:b/>
              </w:rPr>
              <w:t xml:space="preserve"> (£</w:t>
            </w:r>
            <w:r>
              <w:rPr>
                <w:rFonts w:asciiTheme="minorHAnsi" w:hAnsiTheme="minorHAnsi" w:cs="Arial"/>
                <w:b/>
              </w:rPr>
              <w:t>9</w:t>
            </w:r>
            <w:r w:rsidR="003C0CB4" w:rsidRPr="00BC336A">
              <w:rPr>
                <w:rFonts w:asciiTheme="minorHAnsi" w:hAnsiTheme="minorHAnsi" w:cs="Arial"/>
                <w:b/>
              </w:rPr>
              <w:t>.</w:t>
            </w:r>
            <w:r>
              <w:rPr>
                <w:rFonts w:asciiTheme="minorHAnsi" w:hAnsiTheme="minorHAnsi" w:cs="Arial"/>
                <w:b/>
              </w:rPr>
              <w:t>0</w:t>
            </w:r>
            <w:r w:rsidR="007A43AC" w:rsidRPr="00BC336A">
              <w:rPr>
                <w:rFonts w:asciiTheme="minorHAnsi" w:hAnsiTheme="minorHAnsi" w:cs="Arial"/>
                <w:b/>
              </w:rPr>
              <w:t>0</w:t>
            </w:r>
            <w:r w:rsidR="003C0CB4" w:rsidRPr="00BC336A">
              <w:rPr>
                <w:rFonts w:asciiTheme="minorHAnsi" w:hAnsiTheme="minorHAnsi" w:cs="Arial"/>
                <w:b/>
              </w:rPr>
              <w:t>/hour)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344AAD" w:rsidP="00532CB2">
            <w:pPr>
              <w:spacing w:after="0" w:line="240" w:lineRule="auto"/>
              <w:rPr>
                <w:b/>
                <w:highlight w:val="yellow"/>
              </w:rPr>
            </w:pPr>
            <w:r w:rsidRPr="00BC336A">
              <w:rPr>
                <w:b/>
              </w:rPr>
              <w:t>5</w:t>
            </w:r>
            <w:r w:rsidR="003C0CB4" w:rsidRPr="00BC336A">
              <w:rPr>
                <w:b/>
              </w:rPr>
              <w:t xml:space="preserve"> hours per week</w:t>
            </w:r>
            <w:r w:rsidRPr="00BC336A">
              <w:rPr>
                <w:b/>
              </w:rPr>
              <w:t xml:space="preserve"> (5</w:t>
            </w:r>
            <w:r w:rsidR="007A43AC" w:rsidRPr="00BC336A">
              <w:rPr>
                <w:b/>
              </w:rPr>
              <w:t xml:space="preserve"> days a week)</w:t>
            </w:r>
            <w:r w:rsidR="003C0CB4" w:rsidRPr="00BC336A">
              <w:rPr>
                <w:b/>
              </w:rPr>
              <w:t>, 38</w:t>
            </w:r>
            <w:r w:rsidR="00AD59DD" w:rsidRPr="00BC336A">
              <w:rPr>
                <w:b/>
              </w:rPr>
              <w:t xml:space="preserve"> weeks per year</w:t>
            </w:r>
            <w:r w:rsidR="003C0CB4" w:rsidRPr="00BC336A">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7A43AC">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the Executive Headteacher/Deputy, Assistant Head or Senior Midday Supervisor</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as directed by either the Senior Midday Supervisor or the Executive Headteacher</w:t>
      </w:r>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Set up and clear away tables in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lastRenderedPageBreak/>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Pr="00C512ED" w:rsidRDefault="00C512ED" w:rsidP="003C0CB4">
            <w:pPr>
              <w:pStyle w:val="Default"/>
              <w:rPr>
                <w:b/>
                <w:sz w:val="28"/>
                <w:szCs w:val="28"/>
              </w:rPr>
            </w:pPr>
            <w:r w:rsidRPr="00C512ED">
              <w:rPr>
                <w:b/>
                <w:sz w:val="28"/>
                <w:szCs w:val="28"/>
              </w:rPr>
              <w:t>ESSENTIAL</w:t>
            </w:r>
          </w:p>
        </w:tc>
      </w:tr>
      <w:tr w:rsidR="003C0CB4" w:rsidTr="00327253">
        <w:trPr>
          <w:trHeight w:val="2624"/>
        </w:trPr>
        <w:tc>
          <w:tcPr>
            <w:tcW w:w="2587" w:type="dxa"/>
          </w:tcPr>
          <w:p w:rsidR="003C0CB4" w:rsidRPr="00327253" w:rsidRDefault="003C0CB4" w:rsidP="003C0CB4">
            <w:pPr>
              <w:pStyle w:val="Default"/>
              <w:rPr>
                <w:b/>
                <w:sz w:val="20"/>
                <w:szCs w:val="28"/>
              </w:rPr>
            </w:pPr>
            <w:r w:rsidRPr="00327253">
              <w:rPr>
                <w:b/>
                <w:sz w:val="20"/>
                <w:szCs w:val="28"/>
              </w:rPr>
              <w:t>Skills/Knowledge</w:t>
            </w:r>
          </w:p>
        </w:tc>
        <w:tc>
          <w:tcPr>
            <w:tcW w:w="7515" w:type="dxa"/>
          </w:tcPr>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Empathy with children.</w:t>
            </w:r>
          </w:p>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Able to exert authority and give directions/instruction in a confident manner.</w:t>
            </w:r>
          </w:p>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Able to communicate well with both children and adults.</w:t>
            </w:r>
          </w:p>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Knowledge of school standards and procedures.</w:t>
            </w:r>
          </w:p>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Knowledge of health and safety regulations within a school environment, Basic Health and Safety Training, plus awareness of how to obtain information on chil</w:t>
            </w:r>
            <w:r w:rsidR="00327253">
              <w:rPr>
                <w:rFonts w:asciiTheme="minorHAnsi" w:hAnsiTheme="minorHAnsi" w:cstheme="minorHAnsi"/>
                <w:sz w:val="20"/>
                <w:szCs w:val="28"/>
              </w:rPr>
              <w:t xml:space="preserve">dren's allergies or asthma </w:t>
            </w:r>
            <w:r w:rsidRPr="00327253">
              <w:rPr>
                <w:rFonts w:asciiTheme="minorHAnsi" w:hAnsiTheme="minorHAnsi" w:cstheme="minorHAnsi"/>
                <w:sz w:val="20"/>
                <w:szCs w:val="28"/>
              </w:rPr>
              <w:t xml:space="preserve">and how to use </w:t>
            </w:r>
            <w:proofErr w:type="spellStart"/>
            <w:r w:rsidRPr="00327253">
              <w:rPr>
                <w:rFonts w:asciiTheme="minorHAnsi" w:hAnsiTheme="minorHAnsi" w:cstheme="minorHAnsi"/>
                <w:sz w:val="20"/>
                <w:szCs w:val="28"/>
              </w:rPr>
              <w:t>epipens</w:t>
            </w:r>
            <w:proofErr w:type="spellEnd"/>
            <w:r w:rsidRPr="00327253">
              <w:rPr>
                <w:rFonts w:asciiTheme="minorHAnsi" w:hAnsiTheme="minorHAnsi" w:cstheme="minorHAnsi"/>
                <w:sz w:val="20"/>
                <w:szCs w:val="28"/>
              </w:rPr>
              <w:t>, etc.</w:t>
            </w:r>
          </w:p>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Flexibility.</w:t>
            </w:r>
          </w:p>
          <w:p w:rsidR="003C0CB4" w:rsidRPr="00327253"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0"/>
                <w:szCs w:val="28"/>
              </w:rPr>
            </w:pPr>
            <w:r w:rsidRPr="00327253">
              <w:rPr>
                <w:rFonts w:asciiTheme="minorHAnsi" w:hAnsiTheme="minorHAnsi" w:cstheme="minorHAnsi"/>
                <w:sz w:val="20"/>
                <w:szCs w:val="28"/>
              </w:rPr>
              <w:t>Approachability.</w:t>
            </w:r>
          </w:p>
          <w:p w:rsidR="003C0CB4" w:rsidRPr="00327253" w:rsidRDefault="003C0CB4" w:rsidP="003C0CB4">
            <w:pPr>
              <w:pStyle w:val="Default"/>
              <w:rPr>
                <w:sz w:val="20"/>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F4B08"/>
    <w:rsid w:val="001216DD"/>
    <w:rsid w:val="00327253"/>
    <w:rsid w:val="00344AAD"/>
    <w:rsid w:val="003C0CB4"/>
    <w:rsid w:val="00532CB2"/>
    <w:rsid w:val="007062CB"/>
    <w:rsid w:val="00782815"/>
    <w:rsid w:val="007A43AC"/>
    <w:rsid w:val="00876243"/>
    <w:rsid w:val="00932507"/>
    <w:rsid w:val="00962A6E"/>
    <w:rsid w:val="009B3E55"/>
    <w:rsid w:val="00AD59DD"/>
    <w:rsid w:val="00B94293"/>
    <w:rsid w:val="00BC336A"/>
    <w:rsid w:val="00C512ED"/>
    <w:rsid w:val="00C662F9"/>
    <w:rsid w:val="00D525FE"/>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2</cp:revision>
  <dcterms:created xsi:type="dcterms:W3CDTF">2019-11-25T16:27:00Z</dcterms:created>
  <dcterms:modified xsi:type="dcterms:W3CDTF">2019-11-25T16:27:00Z</dcterms:modified>
</cp:coreProperties>
</file>