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E450A7">
              <w:rPr>
                <w:b/>
              </w:rPr>
              <w:t>Springwood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B332F5" w:rsidRDefault="0046555C" w:rsidP="00564625">
            <w:pPr>
              <w:spacing w:after="0" w:line="240" w:lineRule="auto"/>
            </w:pPr>
            <w:r w:rsidRPr="005B3A88">
              <w:t xml:space="preserve">Teacher of </w:t>
            </w:r>
            <w:r w:rsidR="00E450A7">
              <w:t>Art</w:t>
            </w:r>
            <w:r w:rsidR="00945070">
              <w:t xml:space="preserve"> (plus Key Stage 3 Technology)</w:t>
            </w:r>
          </w:p>
          <w:p w:rsidR="00945070" w:rsidRDefault="00945070" w:rsidP="00564625">
            <w:pPr>
              <w:spacing w:after="0" w:line="240" w:lineRule="auto"/>
            </w:pPr>
            <w:r>
              <w:t>Full Time – 100%</w:t>
            </w:r>
          </w:p>
          <w:p w:rsidR="00945070" w:rsidRPr="00782815" w:rsidRDefault="00945070" w:rsidP="00564625">
            <w:pPr>
              <w:spacing w:after="0" w:line="240" w:lineRule="auto"/>
              <w:rPr>
                <w:b/>
              </w:rPr>
            </w:pPr>
            <w:r>
              <w:t>Temporary Maternity Cover from January 2020</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564625">
              <w:t xml:space="preserve">MPS/UPS  </w:t>
            </w:r>
            <w:r w:rsidR="00B332F5" w:rsidRPr="00564625">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9722F6" w:rsidP="00E450A7">
            <w:r>
              <w:t>Headteacher</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564625" w:rsidRPr="009722F6" w:rsidRDefault="009722F6" w:rsidP="0046555C">
            <w:pPr>
              <w:spacing w:after="0" w:line="240" w:lineRule="auto"/>
            </w:pPr>
            <w:r w:rsidRPr="009722F6">
              <w:t>Art Department</w:t>
            </w:r>
          </w:p>
        </w:tc>
      </w:tr>
    </w:tbl>
    <w:p w:rsidR="00AD59DD" w:rsidRDefault="00AD59DD" w:rsidP="00AD59DD">
      <w:pPr>
        <w:jc w:val="both"/>
      </w:pPr>
    </w:p>
    <w:p w:rsidR="00564625" w:rsidRDefault="00564625" w:rsidP="00782815">
      <w:pPr>
        <w:spacing w:after="0" w:line="240" w:lineRule="auto"/>
        <w:rPr>
          <w:rFonts w:asciiTheme="minorHAnsi" w:hAnsiTheme="minorHAnsi"/>
          <w:b/>
          <w:sz w:val="24"/>
          <w:szCs w:val="24"/>
          <w:u w:val="single" w:color="92D050"/>
        </w:rPr>
      </w:pPr>
      <w:r>
        <w:rPr>
          <w:rFonts w:asciiTheme="minorHAnsi" w:hAnsiTheme="minorHAnsi"/>
          <w:b/>
          <w:sz w:val="24"/>
          <w:szCs w:val="24"/>
          <w:u w:val="single" w:color="92D050"/>
        </w:rPr>
        <w:t>Context of the department</w:t>
      </w:r>
      <w:r w:rsidR="0044750D">
        <w:rPr>
          <w:rFonts w:asciiTheme="minorHAnsi" w:hAnsiTheme="minorHAnsi"/>
          <w:b/>
          <w:sz w:val="24"/>
          <w:szCs w:val="24"/>
          <w:u w:val="single" w:color="92D050"/>
        </w:rPr>
        <w:t xml:space="preserve"> and role</w:t>
      </w:r>
    </w:p>
    <w:p w:rsidR="00E450A7" w:rsidRPr="00E450A7" w:rsidRDefault="00E450A7" w:rsidP="00945070">
      <w:pPr>
        <w:jc w:val="both"/>
        <w:rPr>
          <w:rFonts w:eastAsia="Times New Roman"/>
        </w:rPr>
      </w:pPr>
      <w:r w:rsidRPr="00E450A7">
        <w:rPr>
          <w:rFonts w:eastAsia="Times New Roman"/>
        </w:rPr>
        <w:t>Springwood High School is one of three 11 – 18 High Schools in King’s Lynn catering for a truly comprehensive catchment area which is partly urban and partly rural. We are one of the most successful schools in the West Norfolk area with approximately 1700 students on roll, including 350 in the Sixth Form.  We are the leading school in the emerging West Norfolk Academy Trust which currently consists of 4 secondary schools and 7 primary schools and the development of this will provide excellent opportunities for career progression for our staff.</w:t>
      </w:r>
    </w:p>
    <w:p w:rsidR="00E450A7" w:rsidRPr="00945070" w:rsidRDefault="00E450A7" w:rsidP="00945070">
      <w:pPr>
        <w:jc w:val="both"/>
        <w:rPr>
          <w:rFonts w:eastAsia="Times New Roman"/>
          <w:color w:val="000000" w:themeColor="text1"/>
        </w:rPr>
      </w:pPr>
      <w:r w:rsidRPr="00E450A7">
        <w:rPr>
          <w:rFonts w:eastAsia="Times New Roman"/>
          <w:color w:val="000000" w:themeColor="text1"/>
        </w:rPr>
        <w:t xml:space="preserve"> Among our main assets is a dedicated and highly trained group of staff who support each other, a strongly caring ethos, willing learners and a rich variety of extracurricular activities.  In September 2000 Springwood became a Specialist Arts School, in 2009 a Training School and from April 2011 a new style Academy. In February 2017 the school was inspected by OFSTED and was judged good for the third successive time.  “</w:t>
      </w:r>
      <w:r w:rsidRPr="00E450A7">
        <w:rPr>
          <w:rFonts w:asciiTheme="minorHAnsi" w:eastAsia="Times New Roman" w:hAnsiTheme="minorHAnsi" w:cstheme="minorHAnsi"/>
          <w:color w:val="000000" w:themeColor="text1"/>
          <w:shd w:val="clear" w:color="auto" w:fill="FFFFFF"/>
        </w:rPr>
        <w:t>Pupils learn within a calm, orderly environment and enjoy positive relationships with their teachers and with each other.  They speak articulately and with confidence, wear their uniform with pride and treat the school site with respect.”</w:t>
      </w:r>
      <w:r w:rsidRPr="00E450A7">
        <w:rPr>
          <w:rFonts w:ascii="Arial" w:eastAsia="Times New Roman" w:hAnsi="Arial" w:cs="Arial"/>
          <w:color w:val="000000" w:themeColor="text1"/>
          <w:shd w:val="clear" w:color="auto" w:fill="FFFFFF"/>
        </w:rPr>
        <w:t xml:space="preserve"> </w:t>
      </w:r>
      <w:r w:rsidRPr="00E450A7">
        <w:rPr>
          <w:rFonts w:eastAsia="Times New Roman"/>
          <w:color w:val="000000" w:themeColor="text1"/>
        </w:rPr>
        <w:t>The full report can be viewed on our website. The School has become increasingly popular as the exercise of parental choice moved rapidly in our favour and we are oversubscribed at all levels including the Sixth Form. In recent years the school has focussed strongly on raising standards of achievement. We intend to appoint a colleague who will make a significant impact on this endeavour.</w:t>
      </w:r>
    </w:p>
    <w:p w:rsidR="00E450A7" w:rsidRPr="00E450A7" w:rsidRDefault="00E450A7" w:rsidP="00945070">
      <w:pPr>
        <w:autoSpaceDE w:val="0"/>
        <w:autoSpaceDN w:val="0"/>
        <w:adjustRightInd w:val="0"/>
        <w:spacing w:after="0"/>
        <w:jc w:val="both"/>
        <w:rPr>
          <w:rFonts w:eastAsiaTheme="minorHAnsi" w:cs="Calibri"/>
        </w:rPr>
      </w:pPr>
      <w:r w:rsidRPr="00E450A7">
        <w:rPr>
          <w:rFonts w:eastAsiaTheme="minorHAnsi" w:cs="Calibri"/>
        </w:rPr>
        <w:t>Art at Springwood is part of the Arts Faculty which includes Dance, Drama and Music. The Art</w:t>
      </w:r>
    </w:p>
    <w:p w:rsidR="00E450A7" w:rsidRPr="00E450A7" w:rsidRDefault="00E450A7" w:rsidP="00945070">
      <w:pPr>
        <w:autoSpaceDE w:val="0"/>
        <w:autoSpaceDN w:val="0"/>
        <w:adjustRightInd w:val="0"/>
        <w:spacing w:after="0"/>
        <w:jc w:val="both"/>
        <w:rPr>
          <w:rFonts w:eastAsiaTheme="minorHAnsi" w:cs="Calibri"/>
        </w:rPr>
      </w:pPr>
      <w:r w:rsidRPr="00E450A7">
        <w:rPr>
          <w:rFonts w:eastAsiaTheme="minorHAnsi" w:cs="Calibri"/>
        </w:rPr>
        <w:t>Department has four specialist rooms which also have access to dedicated computer areas as ICT is a</w:t>
      </w:r>
    </w:p>
    <w:p w:rsidR="00E450A7" w:rsidRPr="00E450A7" w:rsidRDefault="00E450A7" w:rsidP="00945070">
      <w:pPr>
        <w:autoSpaceDE w:val="0"/>
        <w:autoSpaceDN w:val="0"/>
        <w:adjustRightInd w:val="0"/>
        <w:spacing w:after="0"/>
        <w:jc w:val="both"/>
        <w:rPr>
          <w:rFonts w:eastAsiaTheme="minorHAnsi" w:cs="Calibri"/>
        </w:rPr>
      </w:pPr>
      <w:proofErr w:type="gramStart"/>
      <w:r w:rsidRPr="00E450A7">
        <w:rPr>
          <w:rFonts w:eastAsiaTheme="minorHAnsi" w:cs="Calibri"/>
        </w:rPr>
        <w:t>growing</w:t>
      </w:r>
      <w:proofErr w:type="gramEnd"/>
      <w:r w:rsidRPr="00E450A7">
        <w:rPr>
          <w:rFonts w:eastAsiaTheme="minorHAnsi" w:cs="Calibri"/>
        </w:rPr>
        <w:t xml:space="preserve"> part of our daily teaching practice. We also have a print room, photographic portrait</w:t>
      </w:r>
    </w:p>
    <w:p w:rsidR="00E450A7" w:rsidRPr="00E450A7" w:rsidRDefault="00E450A7" w:rsidP="00945070">
      <w:pPr>
        <w:autoSpaceDE w:val="0"/>
        <w:autoSpaceDN w:val="0"/>
        <w:adjustRightInd w:val="0"/>
        <w:spacing w:after="0"/>
        <w:jc w:val="both"/>
        <w:rPr>
          <w:rFonts w:eastAsiaTheme="minorHAnsi" w:cs="Calibri"/>
        </w:rPr>
      </w:pPr>
      <w:proofErr w:type="gramStart"/>
      <w:r w:rsidRPr="00E450A7">
        <w:rPr>
          <w:rFonts w:eastAsiaTheme="minorHAnsi" w:cs="Calibri"/>
        </w:rPr>
        <w:t>studio</w:t>
      </w:r>
      <w:proofErr w:type="gramEnd"/>
      <w:r w:rsidRPr="00E450A7">
        <w:rPr>
          <w:rFonts w:eastAsiaTheme="minorHAnsi" w:cs="Calibri"/>
        </w:rPr>
        <w:t xml:space="preserve"> and a large traditional Dark Room. The Department numbers three full‐time teachers and</w:t>
      </w:r>
    </w:p>
    <w:p w:rsidR="00E450A7" w:rsidRDefault="00E450A7" w:rsidP="00945070">
      <w:pPr>
        <w:autoSpaceDE w:val="0"/>
        <w:autoSpaceDN w:val="0"/>
        <w:adjustRightInd w:val="0"/>
        <w:spacing w:after="0"/>
        <w:jc w:val="both"/>
        <w:rPr>
          <w:rFonts w:eastAsiaTheme="minorHAnsi" w:cs="Calibri"/>
        </w:rPr>
      </w:pPr>
      <w:proofErr w:type="gramStart"/>
      <w:r w:rsidRPr="00E450A7">
        <w:rPr>
          <w:rFonts w:eastAsiaTheme="minorHAnsi" w:cs="Calibri"/>
        </w:rPr>
        <w:lastRenderedPageBreak/>
        <w:t>uptake</w:t>
      </w:r>
      <w:proofErr w:type="gramEnd"/>
      <w:r w:rsidRPr="00E450A7">
        <w:rPr>
          <w:rFonts w:eastAsiaTheme="minorHAnsi" w:cs="Calibri"/>
        </w:rPr>
        <w:t xml:space="preserve"> for both GCSE</w:t>
      </w:r>
      <w:r w:rsidR="00C6645A">
        <w:rPr>
          <w:rFonts w:eastAsiaTheme="minorHAnsi" w:cs="Calibri"/>
        </w:rPr>
        <w:t xml:space="preserve"> </w:t>
      </w:r>
      <w:r w:rsidRPr="00E450A7">
        <w:rPr>
          <w:rFonts w:eastAsiaTheme="minorHAnsi" w:cs="Calibri"/>
        </w:rPr>
        <w:t xml:space="preserve">and A level </w:t>
      </w:r>
      <w:r w:rsidR="00C6645A">
        <w:rPr>
          <w:rFonts w:eastAsiaTheme="minorHAnsi" w:cs="Calibri"/>
        </w:rPr>
        <w:t>Art &amp; photography</w:t>
      </w:r>
      <w:r w:rsidR="00C6645A" w:rsidRPr="00E450A7">
        <w:rPr>
          <w:rFonts w:eastAsiaTheme="minorHAnsi" w:cs="Calibri"/>
        </w:rPr>
        <w:t xml:space="preserve"> </w:t>
      </w:r>
      <w:r w:rsidRPr="00E450A7">
        <w:rPr>
          <w:rFonts w:eastAsiaTheme="minorHAnsi" w:cs="Calibri"/>
        </w:rPr>
        <w:t xml:space="preserve">courses is strong. We currently have a total of </w:t>
      </w:r>
      <w:r w:rsidR="00C6645A">
        <w:rPr>
          <w:rFonts w:eastAsiaTheme="minorHAnsi" w:cs="Calibri"/>
        </w:rPr>
        <w:t xml:space="preserve">nine </w:t>
      </w:r>
      <w:r w:rsidRPr="00E450A7">
        <w:rPr>
          <w:rFonts w:eastAsiaTheme="minorHAnsi" w:cs="Calibri"/>
        </w:rPr>
        <w:t xml:space="preserve">GCSE groups across Years 10 and 11. In year 12 we have </w:t>
      </w:r>
      <w:r w:rsidR="00C6645A">
        <w:rPr>
          <w:rFonts w:eastAsiaTheme="minorHAnsi" w:cs="Calibri"/>
        </w:rPr>
        <w:t>one group</w:t>
      </w:r>
      <w:r w:rsidRPr="00E450A7">
        <w:rPr>
          <w:rFonts w:eastAsiaTheme="minorHAnsi" w:cs="Calibri"/>
        </w:rPr>
        <w:t xml:space="preserve"> studying AS Fine Art and Photography and two groups studying A2 Photography &amp; Art. We also teach GCSE photography and ha</w:t>
      </w:r>
      <w:r w:rsidR="00C6645A">
        <w:rPr>
          <w:rFonts w:eastAsiaTheme="minorHAnsi" w:cs="Calibri"/>
        </w:rPr>
        <w:t xml:space="preserve">ve groups currently in year 9, </w:t>
      </w:r>
      <w:r w:rsidRPr="00E450A7">
        <w:rPr>
          <w:rFonts w:eastAsiaTheme="minorHAnsi" w:cs="Calibri"/>
        </w:rPr>
        <w:t>10</w:t>
      </w:r>
      <w:r w:rsidR="00C6645A">
        <w:rPr>
          <w:rFonts w:eastAsiaTheme="minorHAnsi" w:cs="Calibri"/>
        </w:rPr>
        <w:t xml:space="preserve"> &amp;11</w:t>
      </w:r>
      <w:r w:rsidRPr="00E450A7">
        <w:rPr>
          <w:rFonts w:eastAsiaTheme="minorHAnsi" w:cs="Calibri"/>
        </w:rPr>
        <w:t>. The ability to teach both of these disciplines would be an advantage</w:t>
      </w:r>
      <w:r w:rsidR="00C6645A">
        <w:rPr>
          <w:rFonts w:eastAsiaTheme="minorHAnsi" w:cs="Calibri"/>
        </w:rPr>
        <w:t xml:space="preserve">, or have a </w:t>
      </w:r>
      <w:proofErr w:type="spellStart"/>
      <w:r w:rsidR="00C6645A">
        <w:rPr>
          <w:rFonts w:eastAsiaTheme="minorHAnsi" w:cs="Calibri"/>
        </w:rPr>
        <w:t>specialism</w:t>
      </w:r>
      <w:proofErr w:type="spellEnd"/>
      <w:r w:rsidR="00C6645A">
        <w:rPr>
          <w:rFonts w:eastAsiaTheme="minorHAnsi" w:cs="Calibri"/>
        </w:rPr>
        <w:t xml:space="preserve"> in printing</w:t>
      </w:r>
      <w:r w:rsidRPr="00E450A7">
        <w:rPr>
          <w:rFonts w:eastAsiaTheme="minorHAnsi" w:cs="Calibri"/>
        </w:rPr>
        <w:t>. We wish to appoint someone who will be happy to live in West Norfolk. Housing is inexpensive, quality of life is good, and sporting and cultural opportunities are plentiful. The nearest cities of Norwich, Cambridge and Peterborough are an hour’s drive and there are good rail links to London.  King’s Lynn stages a major cultural festival each summer based around the Corn Exchange and there is an Arts Centre which holds the Spring “Open “show for the Eastern Counties as well as its varied exhibition programme throughout the year. There is also a thriving art community in West and North Norfolk with many local artists in the area.</w:t>
      </w:r>
    </w:p>
    <w:p w:rsidR="00945070" w:rsidRDefault="00945070" w:rsidP="00E450A7">
      <w:pPr>
        <w:autoSpaceDE w:val="0"/>
        <w:autoSpaceDN w:val="0"/>
        <w:adjustRightInd w:val="0"/>
        <w:spacing w:after="0"/>
        <w:rPr>
          <w:rFonts w:eastAsiaTheme="minorHAnsi" w:cs="Calibri"/>
        </w:rPr>
      </w:pPr>
    </w:p>
    <w:p w:rsidR="00E450A7" w:rsidRDefault="00945070" w:rsidP="00054891">
      <w:pPr>
        <w:spacing w:after="0"/>
        <w:ind w:right="375"/>
        <w:jc w:val="both"/>
      </w:pPr>
      <w:r>
        <w:t>Design Technology is a vibrant department within Springwood High School.  All students at KS3 currently follow a programme of design technology and food, with one lesson of each a fortnight.  At Key Stage 4 students then chose from options including GCSE Food Preparation and Nutrition, GCSE Design Technology, Level 2 Construction and Level 2 Hair and Beauty Studies.  All of these courses are very popular and often over-subscribed. All courses are based on 5 hours a fortnight with students starting their options at the beginning of year 9.  At Key Stage 5 we also offer level 3 Textiles and level 3 Food Science and Nutrition.</w:t>
      </w:r>
    </w:p>
    <w:p w:rsidR="00945070" w:rsidRDefault="00945070" w:rsidP="00945070">
      <w:pPr>
        <w:spacing w:after="0" w:line="240" w:lineRule="auto"/>
        <w:ind w:right="375"/>
        <w:jc w:val="both"/>
      </w:pPr>
    </w:p>
    <w:p w:rsidR="00613A95" w:rsidRPr="00564625" w:rsidRDefault="0044750D" w:rsidP="0044750D">
      <w:r>
        <w:t>We look forward to receiving your application, and please do not hesitate to contact the school if you wish to discuss the role further.</w:t>
      </w: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64625" w:rsidRPr="00564625" w:rsidRDefault="00564625" w:rsidP="0046555C">
      <w:pPr>
        <w:pStyle w:val="ListParagraph"/>
        <w:numPr>
          <w:ilvl w:val="0"/>
          <w:numId w:val="8"/>
        </w:numPr>
        <w:autoSpaceDE w:val="0"/>
        <w:autoSpaceDN w:val="0"/>
        <w:adjustRightInd w:val="0"/>
        <w:spacing w:after="30" w:line="240" w:lineRule="auto"/>
        <w:jc w:val="both"/>
        <w:rPr>
          <w:rFonts w:cs="Calibri"/>
          <w:color w:val="000000"/>
        </w:rPr>
      </w:pPr>
      <w:r>
        <w:rPr>
          <w:rFonts w:cs="Calibri"/>
          <w:color w:val="000000"/>
        </w:rPr>
        <w:t>To inspire and motivate pupils, fostering a love for design and passion for creativity</w:t>
      </w: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44750D" w:rsidRDefault="0044750D"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64625" w:rsidRDefault="00564625">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276E16">
            <w:pPr>
              <w:spacing w:after="0" w:line="240" w:lineRule="auto"/>
              <w:jc w:val="right"/>
            </w:pPr>
            <w:bookmarkStart w:id="0" w:name="_GoBack"/>
            <w:r w:rsidRPr="00532CB2">
              <w:rPr>
                <w:b/>
                <w:sz w:val="24"/>
                <w:szCs w:val="24"/>
              </w:rPr>
              <w:sym w:font="Wingdings 2" w:char="F050"/>
            </w:r>
            <w:bookmarkEnd w:id="0"/>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276E16">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276E16" w:rsidP="00276E16">
            <w:pPr>
              <w:ind w:left="360"/>
              <w:jc w:val="right"/>
            </w:pPr>
            <w:r w:rsidRPr="00532CB2">
              <w:rPr>
                <w:b/>
                <w:sz w:val="24"/>
                <w:szCs w:val="24"/>
              </w:rPr>
              <w:sym w:font="Wingdings 2" w:char="F050"/>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6266"/>
        <w:gridCol w:w="1094"/>
        <w:gridCol w:w="1156"/>
        <w:gridCol w:w="1340"/>
      </w:tblGrid>
      <w:tr w:rsidR="0046555C" w:rsidTr="00945070">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456" w:type="dxa"/>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945070">
        <w:trPr>
          <w:trHeight w:val="294"/>
        </w:trPr>
        <w:tc>
          <w:tcPr>
            <w:tcW w:w="6266" w:type="dxa"/>
          </w:tcPr>
          <w:p w:rsidR="0046555C" w:rsidRPr="004552B3" w:rsidRDefault="0046555C" w:rsidP="008F3F38">
            <w:r>
              <w:t>Ambition for self and others</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564625" w:rsidTr="00945070">
        <w:trPr>
          <w:trHeight w:val="294"/>
        </w:trPr>
        <w:tc>
          <w:tcPr>
            <w:tcW w:w="6266" w:type="dxa"/>
          </w:tcPr>
          <w:p w:rsidR="00564625" w:rsidRDefault="00564625" w:rsidP="00564625">
            <w:r>
              <w:t>A flexible and student focused approach to working</w:t>
            </w:r>
          </w:p>
        </w:tc>
        <w:tc>
          <w:tcPr>
            <w:tcW w:w="456" w:type="dxa"/>
          </w:tcPr>
          <w:p w:rsidR="00564625" w:rsidRPr="004552B3" w:rsidRDefault="00564625" w:rsidP="0046555C">
            <w:pPr>
              <w:pStyle w:val="ListParagraph"/>
              <w:numPr>
                <w:ilvl w:val="0"/>
                <w:numId w:val="9"/>
              </w:numPr>
              <w:jc w:val="center"/>
            </w:pPr>
          </w:p>
        </w:tc>
        <w:tc>
          <w:tcPr>
            <w:tcW w:w="0" w:type="auto"/>
          </w:tcPr>
          <w:p w:rsidR="00564625" w:rsidRPr="004552B3" w:rsidRDefault="00564625" w:rsidP="008F3F38">
            <w:pPr>
              <w:jc w:val="center"/>
            </w:pPr>
          </w:p>
        </w:tc>
        <w:tc>
          <w:tcPr>
            <w:tcW w:w="0" w:type="auto"/>
            <w:vMerge/>
          </w:tcPr>
          <w:p w:rsidR="00564625" w:rsidRPr="004552B3" w:rsidRDefault="00564625" w:rsidP="008F3F38">
            <w:pPr>
              <w:jc w:val="center"/>
            </w:pPr>
          </w:p>
        </w:tc>
      </w:tr>
      <w:tr w:rsidR="0046555C" w:rsidTr="00945070">
        <w:trPr>
          <w:trHeight w:val="294"/>
        </w:trPr>
        <w:tc>
          <w:tcPr>
            <w:tcW w:w="6266" w:type="dxa"/>
          </w:tcPr>
          <w:p w:rsidR="0046555C" w:rsidRPr="004552B3" w:rsidRDefault="0046555C" w:rsidP="008F3F38">
            <w:r>
              <w:t xml:space="preserve">Genuine concern for others             </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945070">
        <w:trPr>
          <w:trHeight w:val="294"/>
        </w:trPr>
        <w:tc>
          <w:tcPr>
            <w:tcW w:w="6266" w:type="dxa"/>
          </w:tcPr>
          <w:p w:rsidR="0046555C" w:rsidRPr="004552B3" w:rsidRDefault="0046555C" w:rsidP="008F3F38">
            <w:r>
              <w:t>Decisive, determined and self-confident</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945070">
        <w:trPr>
          <w:trHeight w:val="294"/>
        </w:trPr>
        <w:tc>
          <w:tcPr>
            <w:tcW w:w="6266" w:type="dxa"/>
          </w:tcPr>
          <w:p w:rsidR="0046555C" w:rsidRPr="004552B3" w:rsidRDefault="0046555C" w:rsidP="008F3F38">
            <w:r>
              <w:t>Integrity, trustworthy, honest and open</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945070">
        <w:trPr>
          <w:trHeight w:val="294"/>
        </w:trPr>
        <w:tc>
          <w:tcPr>
            <w:tcW w:w="6266" w:type="dxa"/>
          </w:tcPr>
          <w:p w:rsidR="0046555C" w:rsidRPr="004552B3" w:rsidRDefault="0046555C" w:rsidP="008F3F38">
            <w:r>
              <w:t>Accessible and approachable</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945070">
        <w:trPr>
          <w:trHeight w:val="294"/>
        </w:trPr>
        <w:tc>
          <w:tcPr>
            <w:tcW w:w="6266" w:type="dxa"/>
          </w:tcPr>
          <w:p w:rsidR="0046555C" w:rsidRPr="004552B3" w:rsidRDefault="0046555C" w:rsidP="008F3F38">
            <w:r>
              <w:t>Excellent attendance and punctuality</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945070">
        <w:trPr>
          <w:trHeight w:val="307"/>
        </w:trPr>
        <w:tc>
          <w:tcPr>
            <w:tcW w:w="6266" w:type="dxa"/>
          </w:tcPr>
          <w:p w:rsidR="0046555C" w:rsidRPr="004552B3" w:rsidRDefault="0046555C" w:rsidP="008F3F38">
            <w:r>
              <w:t>Excellent interpersonal skills</w:t>
            </w:r>
          </w:p>
        </w:tc>
        <w:tc>
          <w:tcPr>
            <w:tcW w:w="456" w:type="dxa"/>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F31"/>
    <w:rsid w:val="00054891"/>
    <w:rsid w:val="001216DD"/>
    <w:rsid w:val="001A22BA"/>
    <w:rsid w:val="00266901"/>
    <w:rsid w:val="00276E16"/>
    <w:rsid w:val="003117B9"/>
    <w:rsid w:val="00426D34"/>
    <w:rsid w:val="0044750D"/>
    <w:rsid w:val="0046555C"/>
    <w:rsid w:val="00532CB2"/>
    <w:rsid w:val="00564625"/>
    <w:rsid w:val="00613A95"/>
    <w:rsid w:val="006E60D0"/>
    <w:rsid w:val="007062CB"/>
    <w:rsid w:val="00731D1F"/>
    <w:rsid w:val="00782815"/>
    <w:rsid w:val="008039B7"/>
    <w:rsid w:val="00873502"/>
    <w:rsid w:val="00932507"/>
    <w:rsid w:val="00945070"/>
    <w:rsid w:val="00962A6E"/>
    <w:rsid w:val="009722F6"/>
    <w:rsid w:val="009B3E55"/>
    <w:rsid w:val="00AD59DD"/>
    <w:rsid w:val="00B332F5"/>
    <w:rsid w:val="00B94293"/>
    <w:rsid w:val="00C662F9"/>
    <w:rsid w:val="00C6645A"/>
    <w:rsid w:val="00DB4490"/>
    <w:rsid w:val="00E409FB"/>
    <w:rsid w:val="00E450A7"/>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cp:lastPrinted>2018-03-07T11:08:00Z</cp:lastPrinted>
  <dcterms:created xsi:type="dcterms:W3CDTF">2019-10-03T15:09:00Z</dcterms:created>
  <dcterms:modified xsi:type="dcterms:W3CDTF">2019-10-07T09:36:00Z</dcterms:modified>
</cp:coreProperties>
</file>