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6555C" w:rsidP="0046555C">
            <w:pPr>
              <w:pStyle w:val="NoSpacing"/>
              <w:rPr>
                <w:b/>
              </w:rPr>
            </w:pPr>
            <w:r>
              <w:t xml:space="preserve">Based at </w:t>
            </w:r>
            <w:r w:rsidR="00AB4C24">
              <w:rPr>
                <w:b/>
              </w:rPr>
              <w:t>S</w:t>
            </w:r>
            <w:r w:rsidR="00522332">
              <w:rPr>
                <w:b/>
              </w:rPr>
              <w:t>pringwood High School</w:t>
            </w:r>
          </w:p>
          <w:p w:rsidR="0046555C" w:rsidRPr="00782815" w:rsidRDefault="0046555C" w:rsidP="0046555C">
            <w:pPr>
              <w:pStyle w:val="NoSpacing"/>
              <w:rPr>
                <w:b/>
              </w:rPr>
            </w:pPr>
          </w:p>
        </w:tc>
      </w:tr>
      <w:tr w:rsidR="00AD59DD" w:rsidRPr="005F722B" w:rsidTr="0080363E">
        <w:trPr>
          <w:trHeight w:val="617"/>
        </w:trPr>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Default="0046555C" w:rsidP="00B332F5">
            <w:pPr>
              <w:spacing w:after="0" w:line="240" w:lineRule="auto"/>
            </w:pPr>
            <w:r w:rsidRPr="00875137">
              <w:t xml:space="preserve">Teacher of </w:t>
            </w:r>
            <w:r w:rsidR="00AB4C24" w:rsidRPr="00875137">
              <w:t>Science</w:t>
            </w:r>
          </w:p>
          <w:p w:rsidR="00715F0B" w:rsidRPr="00875137" w:rsidRDefault="00715F0B" w:rsidP="00B332F5">
            <w:pPr>
              <w:spacing w:after="0" w:line="240" w:lineRule="auto"/>
            </w:pPr>
            <w:r>
              <w:t xml:space="preserve">TLR payment possible for the right candidate </w:t>
            </w:r>
            <w:r>
              <w:t>(opportunity</w:t>
            </w:r>
            <w:r>
              <w:t xml:space="preserve"> to be discussed at interview</w:t>
            </w:r>
            <w:r>
              <w:t>)</w:t>
            </w:r>
            <w:r>
              <w:t>.</w:t>
            </w:r>
          </w:p>
          <w:p w:rsidR="00B332F5" w:rsidRPr="00875137" w:rsidRDefault="00B332F5" w:rsidP="00715F0B">
            <w:pPr>
              <w:spacing w:after="0" w:line="240" w:lineRule="auto"/>
              <w:rPr>
                <w:b/>
              </w:rPr>
            </w:pPr>
            <w:r w:rsidRPr="00875137">
              <w:t>NQT applications welcomed</w:t>
            </w:r>
            <w:r w:rsidR="00FB3093" w:rsidRPr="00875137">
              <w:t>.</w:t>
            </w:r>
            <w:r w:rsidR="00715F0B">
              <w:t xml:space="preserve"> </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522332" w:rsidRDefault="00AD59DD" w:rsidP="001103D7">
            <w:pPr>
              <w:spacing w:after="0" w:line="240" w:lineRule="auto"/>
              <w:rPr>
                <w:b/>
                <w:highlight w:val="yellow"/>
              </w:rPr>
            </w:pPr>
          </w:p>
          <w:p w:rsidR="00AD59DD" w:rsidRPr="00522332" w:rsidRDefault="0046555C" w:rsidP="00AD59DD">
            <w:pPr>
              <w:spacing w:after="0" w:line="240" w:lineRule="auto"/>
              <w:rPr>
                <w:b/>
                <w:highlight w:val="yellow"/>
              </w:rPr>
            </w:pPr>
            <w:r w:rsidRPr="00875137">
              <w:t xml:space="preserve">MPS/UPS  </w:t>
            </w:r>
            <w:r w:rsidR="00B332F5" w:rsidRPr="00875137">
              <w:t>as appropriate</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Pr="00522332" w:rsidRDefault="00875137" w:rsidP="006E60D0">
            <w:pPr>
              <w:rPr>
                <w:highlight w:val="yellow"/>
              </w:rPr>
            </w:pPr>
            <w:r w:rsidRPr="00875137">
              <w:t>Assistant Director of Science</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Pr="00522332" w:rsidRDefault="0046555C" w:rsidP="0046555C">
            <w:pPr>
              <w:spacing w:after="0" w:line="240" w:lineRule="auto"/>
              <w:rPr>
                <w:b/>
                <w:highlight w:val="yellow"/>
              </w:rPr>
            </w:pPr>
          </w:p>
          <w:p w:rsidR="0046555C" w:rsidRPr="00875137" w:rsidRDefault="00AB4C24" w:rsidP="0046555C">
            <w:r w:rsidRPr="00875137">
              <w:t>Science Faculty</w:t>
            </w:r>
          </w:p>
          <w:p w:rsidR="0046555C" w:rsidRPr="00522332" w:rsidRDefault="0046555C" w:rsidP="0046555C">
            <w:pPr>
              <w:spacing w:after="0" w:line="240" w:lineRule="auto"/>
              <w:rPr>
                <w:b/>
                <w:highlight w:val="yellow"/>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 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published scheme of work. </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5E0E9D" w:rsidRPr="00B2256F" w:rsidRDefault="00875137" w:rsidP="00B2256F">
      <w:pPr>
        <w:pStyle w:val="ListParagraph"/>
        <w:numPr>
          <w:ilvl w:val="0"/>
          <w:numId w:val="8"/>
        </w:numPr>
        <w:autoSpaceDE w:val="0"/>
        <w:autoSpaceDN w:val="0"/>
        <w:adjustRightInd w:val="0"/>
        <w:spacing w:after="0" w:line="240" w:lineRule="auto"/>
        <w:jc w:val="both"/>
        <w:rPr>
          <w:rFonts w:cs="Calibri"/>
          <w:color w:val="000000"/>
        </w:rPr>
      </w:pPr>
      <w:r>
        <w:rPr>
          <w:rFonts w:cs="Calibri"/>
          <w:color w:val="000000"/>
        </w:rPr>
        <w:t xml:space="preserve">For the right candidate there will be opportunities to </w:t>
      </w:r>
      <w:r w:rsidR="00715F0B">
        <w:rPr>
          <w:rFonts w:cs="Calibri"/>
          <w:color w:val="000000"/>
        </w:rPr>
        <w:t>teach at KS5. There will also be opportunities for increased duties and responsibilities, attracting a relevant TLR payment. These opportunities can be discussed at interview</w:t>
      </w:r>
      <w:bookmarkStart w:id="0" w:name="_GoBack"/>
      <w:bookmarkEnd w:id="0"/>
      <w:r w:rsidR="00715F0B">
        <w:rPr>
          <w:rFonts w:cs="Calibri"/>
          <w:color w:val="000000"/>
        </w:rPr>
        <w:t>.</w:t>
      </w:r>
    </w:p>
    <w:p w:rsidR="005E0E9D" w:rsidRPr="00DB4490" w:rsidRDefault="005E0E9D"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1A22BA">
      <w:pPr>
        <w:spacing w:after="0" w:line="240" w:lineRule="auto"/>
        <w:ind w:right="280"/>
        <w:jc w:val="both"/>
        <w:rPr>
          <w:rFonts w:asciiTheme="minorHAnsi" w:hAnsiTheme="minorHAnsi"/>
          <w:b/>
          <w:sz w:val="24"/>
          <w:szCs w:val="24"/>
        </w:rPr>
      </w:pP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the designated programme of teaching as presented in the published scheme of work.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use a variety of delivery methods to stimulate learning, appropriate to student abilities.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and update subject materials.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 Assessment Policy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To take part in Parent/Carer Information Evenings.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Within the school’s marking and homework policy, to set and mark work appropriate to the needs of each student. To provide constructive feedback to facilitate progression.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undertake assessment of students as required by internal and external (e.g. examination boards) procedures.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715F0B">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715F0B">
      <w:pPr>
        <w:spacing w:after="0" w:line="240" w:lineRule="auto"/>
        <w:ind w:left="142" w:right="280"/>
        <w:jc w:val="both"/>
      </w:pPr>
    </w:p>
    <w:p w:rsidR="00AD59DD" w:rsidRDefault="00AD59DD" w:rsidP="00715F0B">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715F0B">
      <w:pPr>
        <w:spacing w:after="0" w:line="240" w:lineRule="auto"/>
        <w:ind w:left="142" w:right="280"/>
        <w:jc w:val="both"/>
      </w:pPr>
    </w:p>
    <w:p w:rsidR="00AD59DD" w:rsidRDefault="00AD59DD" w:rsidP="00715F0B">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715F0B">
      <w:pPr>
        <w:spacing w:after="0" w:line="240" w:lineRule="auto"/>
        <w:ind w:left="142"/>
        <w:jc w:val="both"/>
      </w:pPr>
    </w:p>
    <w:p w:rsidR="00AD59DD" w:rsidRDefault="00AD59DD" w:rsidP="00715F0B">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715F0B">
      <w:pPr>
        <w:spacing w:after="0" w:line="240" w:lineRule="auto"/>
        <w:ind w:left="142"/>
        <w:jc w:val="both"/>
      </w:pPr>
    </w:p>
    <w:p w:rsidR="00AD59DD" w:rsidRDefault="00AD59DD" w:rsidP="00715F0B">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715F0B">
      <w:pPr>
        <w:spacing w:after="0" w:line="240" w:lineRule="auto"/>
        <w:ind w:left="142"/>
        <w:jc w:val="both"/>
      </w:pPr>
    </w:p>
    <w:p w:rsidR="0046555C" w:rsidRDefault="0046555C" w:rsidP="00715F0B">
      <w:pPr>
        <w:ind w:left="142"/>
        <w:jc w:val="both"/>
      </w:pPr>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B2256F" w:rsidRDefault="00B2256F" w:rsidP="00AD59DD">
      <w:pPr>
        <w:spacing w:after="0" w:line="240" w:lineRule="auto"/>
        <w:ind w:left="142"/>
      </w:pPr>
    </w:p>
    <w:p w:rsidR="00B2256F" w:rsidRDefault="00B2256F" w:rsidP="00AD59DD">
      <w:pPr>
        <w:spacing w:after="0" w:line="240" w:lineRule="auto"/>
        <w:ind w:left="142"/>
      </w:pPr>
    </w:p>
    <w:p w:rsidR="00B2256F" w:rsidRDefault="00B2256F" w:rsidP="00AD59DD">
      <w:pPr>
        <w:spacing w:after="0" w:line="240" w:lineRule="auto"/>
        <w:ind w:left="142"/>
      </w:pPr>
    </w:p>
    <w:p w:rsidR="00B2256F" w:rsidRDefault="00B2256F" w:rsidP="00AD59DD">
      <w:pPr>
        <w:spacing w:after="0" w:line="240" w:lineRule="auto"/>
        <w:ind w:left="142"/>
      </w:pPr>
    </w:p>
    <w:p w:rsidR="00B2256F" w:rsidRDefault="00B2256F" w:rsidP="00AD59DD">
      <w:pPr>
        <w:spacing w:after="0" w:line="240" w:lineRule="auto"/>
        <w:ind w:left="142"/>
      </w:pPr>
    </w:p>
    <w:p w:rsidR="00B2256F" w:rsidRDefault="00B2256F" w:rsidP="00AD59DD">
      <w:pPr>
        <w:spacing w:after="0" w:line="240" w:lineRule="auto"/>
        <w:ind w:left="142"/>
      </w:pPr>
    </w:p>
    <w:p w:rsidR="00B2256F" w:rsidRDefault="00B2256F" w:rsidP="00AD59DD">
      <w:pPr>
        <w:spacing w:after="0" w:line="240" w:lineRule="auto"/>
        <w:ind w:left="142"/>
      </w:pPr>
    </w:p>
    <w:p w:rsidR="00B2256F" w:rsidRDefault="00B2256F" w:rsidP="00AD59DD">
      <w:pPr>
        <w:spacing w:after="0" w:line="240" w:lineRule="auto"/>
        <w:ind w:left="142"/>
      </w:pPr>
    </w:p>
    <w:p w:rsidR="0011654C" w:rsidRDefault="0011654C" w:rsidP="00AD59DD">
      <w:pPr>
        <w:spacing w:after="0" w:line="240" w:lineRule="auto"/>
        <w:ind w:left="142"/>
      </w:pPr>
    </w:p>
    <w:p w:rsidR="0011654C" w:rsidRDefault="0011654C" w:rsidP="00AD59DD">
      <w:pPr>
        <w:spacing w:after="0" w:line="240" w:lineRule="auto"/>
        <w:ind w:left="142"/>
      </w:pPr>
    </w:p>
    <w:p w:rsidR="0011654C" w:rsidRDefault="0011654C" w:rsidP="00AD59DD">
      <w:pPr>
        <w:spacing w:after="0" w:line="240" w:lineRule="auto"/>
        <w:ind w:left="142"/>
      </w:pPr>
    </w:p>
    <w:p w:rsidR="0011654C" w:rsidRDefault="0011654C" w:rsidP="00AD59DD">
      <w:pPr>
        <w:spacing w:after="0" w:line="240" w:lineRule="auto"/>
        <w:ind w:left="142"/>
      </w:pPr>
    </w:p>
    <w:p w:rsidR="0011654C" w:rsidRDefault="0011654C" w:rsidP="00AD59DD">
      <w:pPr>
        <w:spacing w:after="0" w:line="240" w:lineRule="auto"/>
        <w:ind w:left="142"/>
      </w:pPr>
    </w:p>
    <w:p w:rsidR="0011654C" w:rsidRDefault="0011654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532CB2" w:rsidRDefault="00AD59DD" w:rsidP="00532CB2">
      <w:pPr>
        <w:pStyle w:val="ListParagraph"/>
        <w:jc w:val="center"/>
        <w:rPr>
          <w:b/>
          <w:sz w:val="24"/>
          <w:szCs w:val="24"/>
        </w:rPr>
      </w:pPr>
      <w:r w:rsidRPr="00532CB2">
        <w:rPr>
          <w:b/>
          <w:sz w:val="24"/>
          <w:szCs w:val="24"/>
        </w:rPr>
        <w:t>PERSON SPECIFICATION</w:t>
      </w:r>
    </w:p>
    <w:p w:rsidR="001A22BA" w:rsidRDefault="001A22BA" w:rsidP="00532CB2">
      <w:pPr>
        <w:pStyle w:val="ListParagraph"/>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r w:rsidRPr="0046555C">
              <w:rPr>
                <w:szCs w:val="28"/>
              </w:rPr>
              <w:t>Appl</w:t>
            </w:r>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522332" w:rsidRPr="005F722B" w:rsidTr="0046555C">
        <w:tc>
          <w:tcPr>
            <w:tcW w:w="6167" w:type="dxa"/>
          </w:tcPr>
          <w:p w:rsidR="00522332" w:rsidRDefault="00522332" w:rsidP="00AD59DD">
            <w:pPr>
              <w:spacing w:after="0" w:line="240" w:lineRule="auto"/>
            </w:pPr>
            <w:r>
              <w:t>Experience of KS5 teaching</w:t>
            </w:r>
          </w:p>
        </w:tc>
        <w:tc>
          <w:tcPr>
            <w:tcW w:w="1094" w:type="dxa"/>
          </w:tcPr>
          <w:p w:rsidR="00522332" w:rsidRPr="00532CB2" w:rsidRDefault="00522332" w:rsidP="00532CB2">
            <w:pPr>
              <w:spacing w:after="0" w:line="240" w:lineRule="auto"/>
              <w:ind w:left="643"/>
              <w:jc w:val="center"/>
              <w:rPr>
                <w:b/>
                <w:sz w:val="24"/>
                <w:szCs w:val="24"/>
              </w:rPr>
            </w:pPr>
          </w:p>
        </w:tc>
        <w:tc>
          <w:tcPr>
            <w:tcW w:w="1156" w:type="dxa"/>
          </w:tcPr>
          <w:p w:rsidR="00522332" w:rsidRPr="005F722B" w:rsidRDefault="00522332" w:rsidP="001103D7">
            <w:pPr>
              <w:spacing w:after="0" w:line="240" w:lineRule="auto"/>
              <w:jc w:val="center"/>
            </w:pPr>
            <w:r w:rsidRPr="00532CB2">
              <w:rPr>
                <w:b/>
                <w:sz w:val="24"/>
                <w:szCs w:val="24"/>
              </w:rPr>
              <w:sym w:font="Wingdings 2" w:char="F050"/>
            </w:r>
          </w:p>
        </w:tc>
        <w:tc>
          <w:tcPr>
            <w:tcW w:w="1336" w:type="dxa"/>
            <w:vMerge/>
            <w:vAlign w:val="center"/>
          </w:tcPr>
          <w:p w:rsidR="00522332" w:rsidRDefault="00522332"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rsidTr="008F3F38">
        <w:trPr>
          <w:trHeight w:val="334"/>
        </w:trPr>
        <w:tc>
          <w:tcPr>
            <w:tcW w:w="0" w:type="auto"/>
          </w:tcPr>
          <w:p w:rsidR="0046555C" w:rsidRPr="00856375" w:rsidRDefault="0046555C" w:rsidP="008F3F38">
            <w:pPr>
              <w:jc w:val="center"/>
              <w:rPr>
                <w:b/>
                <w:sz w:val="24"/>
                <w:szCs w:val="24"/>
              </w:rPr>
            </w:pPr>
            <w:r w:rsidRPr="00856375">
              <w:rPr>
                <w:b/>
                <w:sz w:val="24"/>
                <w:szCs w:val="24"/>
              </w:rPr>
              <w:t>Personal qualities</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8F3F38">
        <w:trPr>
          <w:trHeight w:val="294"/>
        </w:trPr>
        <w:tc>
          <w:tcPr>
            <w:tcW w:w="0" w:type="auto"/>
          </w:tcPr>
          <w:p w:rsidR="0046555C" w:rsidRPr="004552B3" w:rsidRDefault="0046555C" w:rsidP="008F3F38">
            <w:r>
              <w:t>Ambition for self and others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294"/>
        </w:trPr>
        <w:tc>
          <w:tcPr>
            <w:tcW w:w="0" w:type="auto"/>
          </w:tcPr>
          <w:p w:rsidR="0046555C" w:rsidRPr="004552B3" w:rsidRDefault="0046555C" w:rsidP="008F3F38">
            <w:r>
              <w:t xml:space="preserve">Genuine concern for others             </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Decisive, determined and self-confident</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Integrity, trustworthy, honest and open</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Accessible and approachable</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Excellent attendance and punctuality</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307"/>
        </w:trPr>
        <w:tc>
          <w:tcPr>
            <w:tcW w:w="0" w:type="auto"/>
          </w:tcPr>
          <w:p w:rsidR="0046555C" w:rsidRPr="004552B3" w:rsidRDefault="0046555C" w:rsidP="008F3F38">
            <w:r>
              <w:t>Excellent interpersonal skills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AD59DD" w:rsidRDefault="00AD59DD" w:rsidP="00522332">
      <w:pPr>
        <w:ind w:firstLine="720"/>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1654C"/>
    <w:rsid w:val="001216DD"/>
    <w:rsid w:val="00184A87"/>
    <w:rsid w:val="001A22BA"/>
    <w:rsid w:val="00266901"/>
    <w:rsid w:val="0046555C"/>
    <w:rsid w:val="00522332"/>
    <w:rsid w:val="00532CB2"/>
    <w:rsid w:val="005E0E9D"/>
    <w:rsid w:val="006E60D0"/>
    <w:rsid w:val="007062CB"/>
    <w:rsid w:val="00715F0B"/>
    <w:rsid w:val="00782815"/>
    <w:rsid w:val="0080363E"/>
    <w:rsid w:val="00875137"/>
    <w:rsid w:val="00932507"/>
    <w:rsid w:val="00962A6E"/>
    <w:rsid w:val="009B3E55"/>
    <w:rsid w:val="00AB4C24"/>
    <w:rsid w:val="00AD59DD"/>
    <w:rsid w:val="00B2256F"/>
    <w:rsid w:val="00B332F5"/>
    <w:rsid w:val="00B94293"/>
    <w:rsid w:val="00C61CFA"/>
    <w:rsid w:val="00C662F9"/>
    <w:rsid w:val="00DB4490"/>
    <w:rsid w:val="00E409FB"/>
    <w:rsid w:val="00E849D4"/>
    <w:rsid w:val="00E90E19"/>
    <w:rsid w:val="00EC7FEC"/>
    <w:rsid w:val="00ED2B7E"/>
    <w:rsid w:val="00FB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23A0"/>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3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2019-05-09T07:58:00Z</dcterms:created>
  <dcterms:modified xsi:type="dcterms:W3CDTF">2019-05-09T07:58:00Z</dcterms:modified>
</cp:coreProperties>
</file>